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D65" w:rsidRPr="00D81D86" w:rsidRDefault="00756D65" w:rsidP="00756D65">
      <w:pPr>
        <w:jc w:val="center"/>
        <w:rPr>
          <w:b/>
        </w:rPr>
      </w:pPr>
      <w:r w:rsidRPr="00D81D86">
        <w:rPr>
          <w:b/>
        </w:rPr>
        <w:t>Hampshire College Early Learning Center</w:t>
      </w:r>
    </w:p>
    <w:p w:rsidR="00756D65" w:rsidRPr="00D81D86" w:rsidRDefault="00756D65" w:rsidP="00756D65">
      <w:pPr>
        <w:jc w:val="center"/>
        <w:rPr>
          <w:b/>
        </w:rPr>
      </w:pPr>
      <w:r w:rsidRPr="00D81D86">
        <w:rPr>
          <w:b/>
        </w:rPr>
        <w:t>Tuition Schedule</w:t>
      </w:r>
    </w:p>
    <w:p w:rsidR="00756D65" w:rsidRPr="00D81D86" w:rsidRDefault="00756D65" w:rsidP="00756D65">
      <w:pPr>
        <w:jc w:val="center"/>
        <w:rPr>
          <w:b/>
        </w:rPr>
      </w:pPr>
      <w:r>
        <w:rPr>
          <w:b/>
        </w:rPr>
        <w:t>2023-2024</w:t>
      </w:r>
    </w:p>
    <w:p w:rsidR="00756D65" w:rsidRPr="00D81D86" w:rsidRDefault="00756D65" w:rsidP="00756D65">
      <w:pPr>
        <w:jc w:val="center"/>
        <w:rPr>
          <w:b/>
        </w:rPr>
      </w:pPr>
    </w:p>
    <w:p w:rsidR="00756D65" w:rsidRDefault="00756D65" w:rsidP="006E7DE6">
      <w:r w:rsidRPr="00D81D86">
        <w:t xml:space="preserve">The academic year tuition is calculated by multiplying the weekly rate by 43 weeks. </w:t>
      </w:r>
      <w:r>
        <w:t xml:space="preserve"> This includes Teachers training </w:t>
      </w:r>
      <w:proofErr w:type="gramStart"/>
      <w:r>
        <w:t>weeks ,vacation</w:t>
      </w:r>
      <w:proofErr w:type="gramEnd"/>
      <w:r>
        <w:t xml:space="preserve"> and holidays,</w:t>
      </w:r>
      <w:r w:rsidRPr="00D81D86">
        <w:t xml:space="preserve"> Tuition is paid in monthly installments calculated by dividing the annual tuition into 10 equal parts.</w:t>
      </w:r>
      <w:r w:rsidR="006E7DE6">
        <w:t xml:space="preserve"> For your convenience, we have provided both the daily and yearly tuition rates. </w:t>
      </w:r>
    </w:p>
    <w:p w:rsidR="00756D65" w:rsidRPr="00D81D86" w:rsidRDefault="00756D65" w:rsidP="00756D65"/>
    <w:p w:rsidR="00756D65" w:rsidRPr="00D81D86" w:rsidRDefault="00756D65" w:rsidP="00756D65">
      <w:pPr>
        <w:jc w:val="center"/>
      </w:pPr>
    </w:p>
    <w:p w:rsidR="00756D65" w:rsidRPr="00351F34" w:rsidRDefault="00756D65" w:rsidP="00756D65">
      <w:pPr>
        <w:jc w:val="center"/>
        <w:rPr>
          <w:rFonts w:ascii="Calibri" w:hAnsi="Calibri"/>
          <w:b/>
          <w:u w:val="single"/>
        </w:rPr>
      </w:pPr>
      <w:r>
        <w:t xml:space="preserve"> </w:t>
      </w:r>
      <w:r w:rsidRPr="00351F34">
        <w:rPr>
          <w:b/>
          <w:u w:val="single"/>
        </w:rPr>
        <w:t xml:space="preserve">Hampshire College </w:t>
      </w:r>
      <w:r w:rsidR="00E21857">
        <w:rPr>
          <w:b/>
          <w:u w:val="single"/>
        </w:rPr>
        <w:t>Affiliated Families</w:t>
      </w:r>
      <w:r w:rsidR="006E7DE6">
        <w:rPr>
          <w:b/>
          <w:u w:val="single"/>
        </w:rPr>
        <w:t xml:space="preserve"> Daily Rates</w:t>
      </w:r>
    </w:p>
    <w:p w:rsidR="00756D65" w:rsidRPr="00D81D86" w:rsidRDefault="00756D65" w:rsidP="00756D65">
      <w:pPr>
        <w:rPr>
          <w:rFonts w:ascii="Calibri" w:hAnsi="Calibri"/>
          <w:b/>
        </w:rPr>
      </w:pPr>
      <w:r w:rsidRPr="00D81D86">
        <w:rPr>
          <w:rFonts w:ascii="Calibri" w:hAnsi="Calibri"/>
          <w:b/>
        </w:rPr>
        <w:t>INFANTS (2-14 MONTHS)</w:t>
      </w:r>
    </w:p>
    <w:p w:rsidR="00756D65" w:rsidRPr="00D81D86" w:rsidRDefault="00756D65" w:rsidP="00756D65">
      <w:pPr>
        <w:ind w:left="1440" w:firstLine="720"/>
        <w:rPr>
          <w:rFonts w:ascii="Calibri" w:hAnsi="Calibri"/>
          <w:b/>
        </w:rPr>
      </w:pPr>
      <w:r w:rsidRPr="00D81D86">
        <w:rPr>
          <w:rFonts w:ascii="Calibri" w:hAnsi="Calibri"/>
          <w:b/>
        </w:rPr>
        <w:t>Schedule</w:t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  <w:t>Daily Rate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</w:tblGrid>
      <w:tr w:rsidR="00756D65" w:rsidRPr="00D81D86" w:rsidTr="004E41AA">
        <w:trPr>
          <w:jc w:val="center"/>
        </w:trPr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(8:15</w:t>
            </w:r>
            <w:r w:rsidRPr="00D81D86">
              <w:rPr>
                <w:rFonts w:ascii="Calibri" w:hAnsi="Calibri"/>
              </w:rPr>
              <w:t>-3:30)</w:t>
            </w:r>
          </w:p>
        </w:tc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$85</w:t>
            </w:r>
          </w:p>
        </w:tc>
      </w:tr>
    </w:tbl>
    <w:p w:rsidR="00756D65" w:rsidRPr="00D81D86" w:rsidRDefault="00756D65" w:rsidP="00756D65">
      <w:pPr>
        <w:jc w:val="center"/>
        <w:rPr>
          <w:rFonts w:ascii="Calibri" w:hAnsi="Calibri"/>
        </w:rPr>
      </w:pPr>
    </w:p>
    <w:p w:rsidR="00756D65" w:rsidRPr="00D81D86" w:rsidRDefault="00756D65" w:rsidP="00756D65">
      <w:pPr>
        <w:rPr>
          <w:rFonts w:ascii="Calibri" w:hAnsi="Calibri"/>
          <w:b/>
        </w:rPr>
      </w:pPr>
      <w:r w:rsidRPr="00D81D86">
        <w:rPr>
          <w:rFonts w:ascii="Calibri" w:hAnsi="Calibri"/>
          <w:b/>
        </w:rPr>
        <w:t>TODDLERS (15 MONTHS-2.8 YEARS)</w:t>
      </w:r>
    </w:p>
    <w:p w:rsidR="00756D65" w:rsidRPr="00D81D86" w:rsidRDefault="00756D65" w:rsidP="00756D65">
      <w:pPr>
        <w:ind w:left="1440" w:firstLine="720"/>
        <w:rPr>
          <w:rFonts w:ascii="Calibri" w:hAnsi="Calibri"/>
          <w:b/>
        </w:rPr>
      </w:pPr>
      <w:r w:rsidRPr="00D81D86">
        <w:rPr>
          <w:rFonts w:ascii="Calibri" w:hAnsi="Calibri"/>
          <w:b/>
        </w:rPr>
        <w:t>Schedule</w:t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  <w:t>Daily Rate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</w:tblGrid>
      <w:tr w:rsidR="00756D65" w:rsidRPr="00D81D86" w:rsidTr="004E41AA">
        <w:trPr>
          <w:jc w:val="center"/>
        </w:trPr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(8:15</w:t>
            </w:r>
            <w:r w:rsidRPr="00D81D86">
              <w:rPr>
                <w:rFonts w:ascii="Calibri" w:hAnsi="Calibri"/>
              </w:rPr>
              <w:t>-3:30)</w:t>
            </w:r>
          </w:p>
        </w:tc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$76</w:t>
            </w:r>
          </w:p>
        </w:tc>
      </w:tr>
    </w:tbl>
    <w:p w:rsidR="00756D65" w:rsidRPr="00D81D86" w:rsidRDefault="00756D65" w:rsidP="00756D65">
      <w:pPr>
        <w:jc w:val="center"/>
        <w:rPr>
          <w:rFonts w:ascii="Calibri" w:hAnsi="Calibri"/>
          <w:b/>
        </w:rPr>
      </w:pPr>
    </w:p>
    <w:p w:rsidR="00756D65" w:rsidRPr="00D81D86" w:rsidRDefault="00756D65" w:rsidP="00756D65">
      <w:pPr>
        <w:rPr>
          <w:rFonts w:ascii="Calibri" w:hAnsi="Calibri"/>
          <w:b/>
        </w:rPr>
      </w:pPr>
      <w:r w:rsidRPr="00D81D86">
        <w:rPr>
          <w:rFonts w:ascii="Calibri" w:hAnsi="Calibri"/>
          <w:b/>
        </w:rPr>
        <w:t>PRESCHOOLERS (2.9-5 YEARS)</w:t>
      </w:r>
    </w:p>
    <w:p w:rsidR="00756D65" w:rsidRPr="00D81D86" w:rsidRDefault="00756D65" w:rsidP="00756D65">
      <w:pPr>
        <w:ind w:left="1440" w:firstLine="720"/>
        <w:rPr>
          <w:rFonts w:ascii="Calibri" w:hAnsi="Calibri"/>
          <w:b/>
        </w:rPr>
      </w:pPr>
      <w:r w:rsidRPr="00D81D86">
        <w:rPr>
          <w:rFonts w:ascii="Calibri" w:hAnsi="Calibri"/>
          <w:b/>
        </w:rPr>
        <w:t>Schedule</w:t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  <w:t>Daily Rate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</w:tblGrid>
      <w:tr w:rsidR="00756D65" w:rsidRPr="00D81D86" w:rsidTr="004E41AA">
        <w:trPr>
          <w:jc w:val="center"/>
        </w:trPr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(8:15</w:t>
            </w:r>
            <w:r w:rsidRPr="00D81D86">
              <w:rPr>
                <w:rFonts w:ascii="Calibri" w:hAnsi="Calibri"/>
              </w:rPr>
              <w:t>-3:30)</w:t>
            </w:r>
          </w:p>
        </w:tc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$68</w:t>
            </w:r>
          </w:p>
        </w:tc>
      </w:tr>
    </w:tbl>
    <w:p w:rsidR="00756D65" w:rsidRPr="00D81D86" w:rsidRDefault="00756D65" w:rsidP="00756D65">
      <w:pPr>
        <w:jc w:val="center"/>
        <w:rPr>
          <w:rFonts w:ascii="Calibri" w:hAnsi="Calibri"/>
          <w:b/>
        </w:rPr>
      </w:pPr>
    </w:p>
    <w:p w:rsidR="00756D65" w:rsidRPr="00D81D86" w:rsidRDefault="00756D65" w:rsidP="00756D65">
      <w:pPr>
        <w:jc w:val="center"/>
        <w:rPr>
          <w:rFonts w:ascii="Calibri" w:hAnsi="Calibri"/>
          <w:b/>
          <w:u w:val="single"/>
        </w:rPr>
      </w:pPr>
      <w:r w:rsidRPr="00D81D86">
        <w:rPr>
          <w:rFonts w:ascii="Calibri" w:hAnsi="Calibri"/>
          <w:b/>
          <w:u w:val="single"/>
        </w:rPr>
        <w:t xml:space="preserve">Non-Hampshire College </w:t>
      </w:r>
      <w:r w:rsidR="00E21857">
        <w:rPr>
          <w:rFonts w:ascii="Calibri" w:hAnsi="Calibri"/>
          <w:b/>
          <w:u w:val="single"/>
        </w:rPr>
        <w:t>Affiliated Families</w:t>
      </w:r>
      <w:r w:rsidR="006E7DE6">
        <w:rPr>
          <w:rFonts w:ascii="Calibri" w:hAnsi="Calibri"/>
          <w:b/>
          <w:u w:val="single"/>
        </w:rPr>
        <w:t xml:space="preserve"> Daily Rates</w:t>
      </w:r>
    </w:p>
    <w:p w:rsidR="00756D65" w:rsidRPr="00D81D86" w:rsidRDefault="00756D65" w:rsidP="00756D65">
      <w:pPr>
        <w:rPr>
          <w:rFonts w:ascii="Calibri" w:hAnsi="Calibri"/>
          <w:b/>
        </w:rPr>
      </w:pPr>
      <w:r w:rsidRPr="00D81D86">
        <w:rPr>
          <w:rFonts w:ascii="Calibri" w:hAnsi="Calibri"/>
          <w:b/>
        </w:rPr>
        <w:t>INFANTS (2-14 MONTHS)</w:t>
      </w:r>
    </w:p>
    <w:p w:rsidR="00756D65" w:rsidRPr="00D81D86" w:rsidRDefault="00756D65" w:rsidP="00756D65">
      <w:pPr>
        <w:ind w:left="1440" w:firstLine="720"/>
        <w:rPr>
          <w:rFonts w:ascii="Calibri" w:hAnsi="Calibri"/>
          <w:b/>
        </w:rPr>
      </w:pPr>
      <w:r w:rsidRPr="00D81D86">
        <w:rPr>
          <w:rFonts w:ascii="Calibri" w:hAnsi="Calibri"/>
          <w:b/>
        </w:rPr>
        <w:t>Schedule</w:t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  <w:t>Daily Rate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</w:tblGrid>
      <w:tr w:rsidR="00756D65" w:rsidRPr="00D81D86" w:rsidTr="004E41AA">
        <w:trPr>
          <w:jc w:val="center"/>
        </w:trPr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(8:15</w:t>
            </w:r>
            <w:r w:rsidRPr="00D81D86">
              <w:rPr>
                <w:rFonts w:ascii="Calibri" w:hAnsi="Calibri"/>
              </w:rPr>
              <w:t>-3:30)</w:t>
            </w:r>
          </w:p>
        </w:tc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$95</w:t>
            </w:r>
          </w:p>
        </w:tc>
      </w:tr>
    </w:tbl>
    <w:p w:rsidR="00756D65" w:rsidRPr="00D81D86" w:rsidRDefault="00756D65" w:rsidP="00756D65">
      <w:pPr>
        <w:jc w:val="center"/>
        <w:rPr>
          <w:rFonts w:ascii="Calibri" w:hAnsi="Calibri"/>
        </w:rPr>
      </w:pPr>
    </w:p>
    <w:p w:rsidR="00756D65" w:rsidRPr="00D81D86" w:rsidRDefault="00756D65" w:rsidP="00756D65">
      <w:pPr>
        <w:rPr>
          <w:rFonts w:ascii="Calibri" w:hAnsi="Calibri"/>
          <w:b/>
        </w:rPr>
      </w:pPr>
      <w:r w:rsidRPr="00D81D86">
        <w:rPr>
          <w:rFonts w:ascii="Calibri" w:hAnsi="Calibri"/>
          <w:b/>
        </w:rPr>
        <w:t>TODDLERS (15 MONTHS-2.8 YEARS)</w:t>
      </w:r>
    </w:p>
    <w:p w:rsidR="00756D65" w:rsidRPr="00D81D86" w:rsidRDefault="00756D65" w:rsidP="00756D65">
      <w:pPr>
        <w:ind w:left="1440" w:firstLine="720"/>
        <w:rPr>
          <w:rFonts w:ascii="Calibri" w:hAnsi="Calibri"/>
          <w:b/>
        </w:rPr>
      </w:pPr>
      <w:r w:rsidRPr="00D81D86">
        <w:rPr>
          <w:rFonts w:ascii="Calibri" w:hAnsi="Calibri"/>
          <w:b/>
        </w:rPr>
        <w:t>Schedule</w:t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  <w:t>Daily Rate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</w:tblGrid>
      <w:tr w:rsidR="00756D65" w:rsidRPr="00D81D86" w:rsidTr="004E41AA">
        <w:trPr>
          <w:jc w:val="center"/>
        </w:trPr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(8:15</w:t>
            </w:r>
            <w:r w:rsidRPr="00D81D86">
              <w:rPr>
                <w:rFonts w:ascii="Calibri" w:hAnsi="Calibri"/>
              </w:rPr>
              <w:t>-3:30)</w:t>
            </w:r>
          </w:p>
        </w:tc>
        <w:tc>
          <w:tcPr>
            <w:tcW w:w="2952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$83</w:t>
            </w:r>
          </w:p>
        </w:tc>
      </w:tr>
    </w:tbl>
    <w:p w:rsidR="00756D65" w:rsidRPr="00D81D86" w:rsidRDefault="00756D65" w:rsidP="00756D65">
      <w:pPr>
        <w:jc w:val="center"/>
        <w:rPr>
          <w:rFonts w:ascii="Calibri" w:hAnsi="Calibri"/>
          <w:b/>
        </w:rPr>
      </w:pPr>
    </w:p>
    <w:p w:rsidR="00756D65" w:rsidRPr="00D81D86" w:rsidRDefault="00756D65" w:rsidP="00756D65">
      <w:pPr>
        <w:rPr>
          <w:rFonts w:ascii="Calibri" w:hAnsi="Calibri"/>
          <w:b/>
        </w:rPr>
      </w:pPr>
    </w:p>
    <w:p w:rsidR="00756D65" w:rsidRPr="00D81D86" w:rsidRDefault="00756D65" w:rsidP="00756D65">
      <w:pPr>
        <w:rPr>
          <w:rFonts w:ascii="Calibri" w:hAnsi="Calibri"/>
          <w:b/>
        </w:rPr>
      </w:pPr>
      <w:r w:rsidRPr="00D81D86">
        <w:rPr>
          <w:rFonts w:ascii="Calibri" w:hAnsi="Calibri"/>
          <w:b/>
        </w:rPr>
        <w:t>PRESCHOOLERS (2.9-5 YEARS)</w:t>
      </w:r>
    </w:p>
    <w:p w:rsidR="00756D65" w:rsidRPr="00D81D86" w:rsidRDefault="00756D65" w:rsidP="00756D65">
      <w:pPr>
        <w:ind w:left="1440" w:firstLine="720"/>
        <w:rPr>
          <w:rFonts w:ascii="Calibri" w:hAnsi="Calibri"/>
          <w:b/>
        </w:rPr>
      </w:pPr>
      <w:r w:rsidRPr="00D81D86">
        <w:rPr>
          <w:rFonts w:ascii="Calibri" w:hAnsi="Calibri"/>
          <w:b/>
        </w:rPr>
        <w:t>Schedule</w:t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</w:r>
      <w:r w:rsidRPr="00D81D86">
        <w:rPr>
          <w:rFonts w:ascii="Calibri" w:hAnsi="Calibri"/>
          <w:b/>
        </w:rPr>
        <w:tab/>
        <w:t>Daily Rate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0"/>
        <w:gridCol w:w="2970"/>
      </w:tblGrid>
      <w:tr w:rsidR="00756D65" w:rsidRPr="00D81D86" w:rsidTr="004E41AA">
        <w:trPr>
          <w:jc w:val="center"/>
        </w:trPr>
        <w:tc>
          <w:tcPr>
            <w:tcW w:w="2970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(8.15</w:t>
            </w:r>
            <w:r w:rsidRPr="00D81D86">
              <w:rPr>
                <w:rFonts w:ascii="Calibri" w:hAnsi="Calibri"/>
              </w:rPr>
              <w:t>-3:30)</w:t>
            </w:r>
          </w:p>
        </w:tc>
        <w:tc>
          <w:tcPr>
            <w:tcW w:w="2970" w:type="dxa"/>
          </w:tcPr>
          <w:p w:rsidR="00756D65" w:rsidRPr="00D81D86" w:rsidRDefault="00756D65" w:rsidP="004E41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$76</w:t>
            </w:r>
          </w:p>
        </w:tc>
      </w:tr>
    </w:tbl>
    <w:p w:rsidR="00756D65" w:rsidRPr="00D81D86" w:rsidRDefault="00756D65" w:rsidP="00756D65">
      <w:pPr>
        <w:rPr>
          <w:rFonts w:ascii="Calibri" w:hAnsi="Calibri"/>
          <w:b/>
        </w:rPr>
      </w:pPr>
    </w:p>
    <w:p w:rsidR="00756D65" w:rsidRPr="00D81D86" w:rsidRDefault="00756D65" w:rsidP="00756D65"/>
    <w:p w:rsidR="00756D65" w:rsidRPr="00D81D86" w:rsidRDefault="00756D65" w:rsidP="00756D65"/>
    <w:p w:rsidR="00756D65" w:rsidRPr="00D81D86" w:rsidRDefault="00756D65" w:rsidP="00756D65">
      <w:pPr>
        <w:rPr>
          <w:b/>
          <w:i/>
        </w:rPr>
      </w:pPr>
      <w:r w:rsidRPr="00D81D86">
        <w:rPr>
          <w:b/>
          <w:i/>
        </w:rPr>
        <w:t>In order to qualify for the Hampshire College employee tuition rates, at least one of the child’s parents/guardians must be a benefits-eligible employee of the college with an FTE of .75-1.0.</w:t>
      </w:r>
    </w:p>
    <w:p w:rsidR="00756D65" w:rsidRDefault="00756D65" w:rsidP="00756D65"/>
    <w:p w:rsidR="00756D65" w:rsidRDefault="00756D65" w:rsidP="00756D65"/>
    <w:p w:rsidR="00756D65" w:rsidRDefault="00756D65" w:rsidP="00756D65"/>
    <w:p w:rsidR="006E7DE6" w:rsidRDefault="006E7DE6" w:rsidP="006E7DE6">
      <w:pPr>
        <w:jc w:val="center"/>
      </w:pPr>
      <w:r>
        <w:lastRenderedPageBreak/>
        <w:t>Yearly Tuition Rates</w:t>
      </w:r>
    </w:p>
    <w:p w:rsidR="006E7DE6" w:rsidRDefault="006E7DE6" w:rsidP="006E7DE6">
      <w:pPr>
        <w:jc w:val="center"/>
      </w:pPr>
      <w:r>
        <w:t>HCELC 2023-2024</w:t>
      </w:r>
    </w:p>
    <w:p w:rsidR="006E7DE6" w:rsidRDefault="006E7DE6" w:rsidP="006E7DE6">
      <w:pPr>
        <w:jc w:val="center"/>
      </w:pPr>
    </w:p>
    <w:p w:rsidR="006E7DE6" w:rsidRPr="00740F31" w:rsidRDefault="006E7DE6" w:rsidP="006E7DE6">
      <w:pPr>
        <w:jc w:val="center"/>
        <w:rPr>
          <w:b/>
          <w:bCs/>
          <w:u w:val="single"/>
        </w:rPr>
      </w:pPr>
      <w:r w:rsidRPr="00740F31">
        <w:rPr>
          <w:b/>
          <w:bCs/>
          <w:u w:val="single"/>
        </w:rPr>
        <w:t>Hampshire College Affiliated Families:</w:t>
      </w:r>
    </w:p>
    <w:p w:rsidR="006E7DE6" w:rsidRDefault="006E7DE6" w:rsidP="006E7D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7DE6" w:rsidTr="007737D5">
        <w:tc>
          <w:tcPr>
            <w:tcW w:w="2337" w:type="dxa"/>
          </w:tcPr>
          <w:p w:rsidR="006E7DE6" w:rsidRPr="00740F31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 w:rsidRPr="00740F31">
              <w:rPr>
                <w:b/>
                <w:bCs/>
              </w:rPr>
              <w:t>Days/Yearly Tuition</w:t>
            </w:r>
          </w:p>
        </w:tc>
        <w:tc>
          <w:tcPr>
            <w:tcW w:w="2337" w:type="dxa"/>
          </w:tcPr>
          <w:p w:rsidR="006E7DE6" w:rsidRPr="00740F31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 w:rsidRPr="00740F31">
              <w:rPr>
                <w:b/>
                <w:bCs/>
              </w:rPr>
              <w:t>Infants</w:t>
            </w:r>
          </w:p>
        </w:tc>
        <w:tc>
          <w:tcPr>
            <w:tcW w:w="2338" w:type="dxa"/>
          </w:tcPr>
          <w:p w:rsidR="006E7DE6" w:rsidRPr="00740F31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 w:rsidRPr="00740F31">
              <w:rPr>
                <w:b/>
                <w:bCs/>
              </w:rPr>
              <w:t>Toddlers</w:t>
            </w:r>
          </w:p>
        </w:tc>
        <w:tc>
          <w:tcPr>
            <w:tcW w:w="2338" w:type="dxa"/>
          </w:tcPr>
          <w:p w:rsidR="006E7DE6" w:rsidRPr="00740F31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 w:rsidRPr="00740F31">
              <w:rPr>
                <w:b/>
                <w:bCs/>
              </w:rPr>
              <w:t>Preschool</w:t>
            </w:r>
          </w:p>
        </w:tc>
      </w:tr>
      <w:tr w:rsidR="006E7DE6" w:rsidTr="007737D5">
        <w:tc>
          <w:tcPr>
            <w:tcW w:w="2337" w:type="dxa"/>
          </w:tcPr>
          <w:p w:rsidR="006E7DE6" w:rsidRPr="00740F31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 w:rsidRPr="00740F31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days/week</w:t>
            </w:r>
          </w:p>
        </w:tc>
        <w:tc>
          <w:tcPr>
            <w:tcW w:w="2337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$10,965</w:t>
            </w:r>
          </w:p>
        </w:tc>
        <w:tc>
          <w:tcPr>
            <w:tcW w:w="2338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$9,804</w:t>
            </w:r>
          </w:p>
        </w:tc>
        <w:tc>
          <w:tcPr>
            <w:tcW w:w="2338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$8,772</w:t>
            </w:r>
          </w:p>
        </w:tc>
      </w:tr>
      <w:tr w:rsidR="006E7DE6" w:rsidTr="007737D5">
        <w:tc>
          <w:tcPr>
            <w:tcW w:w="2337" w:type="dxa"/>
          </w:tcPr>
          <w:p w:rsidR="006E7DE6" w:rsidRPr="00740F31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 w:rsidRPr="00740F31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day</w:t>
            </w:r>
            <w:r w:rsidRPr="00740F31">
              <w:rPr>
                <w:b/>
                <w:bCs/>
              </w:rPr>
              <w:t>s</w:t>
            </w:r>
            <w:r>
              <w:rPr>
                <w:b/>
                <w:bCs/>
              </w:rPr>
              <w:t>/week</w:t>
            </w:r>
          </w:p>
        </w:tc>
        <w:tc>
          <w:tcPr>
            <w:tcW w:w="2337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$14,620</w:t>
            </w:r>
          </w:p>
        </w:tc>
        <w:tc>
          <w:tcPr>
            <w:tcW w:w="2338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$13,072</w:t>
            </w:r>
          </w:p>
        </w:tc>
        <w:tc>
          <w:tcPr>
            <w:tcW w:w="2338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$11,696</w:t>
            </w:r>
          </w:p>
        </w:tc>
      </w:tr>
      <w:tr w:rsidR="006E7DE6" w:rsidTr="007737D5">
        <w:tc>
          <w:tcPr>
            <w:tcW w:w="2337" w:type="dxa"/>
          </w:tcPr>
          <w:p w:rsidR="006E7DE6" w:rsidRPr="00740F31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 w:rsidRPr="00740F31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d</w:t>
            </w:r>
            <w:r w:rsidRPr="00740F31">
              <w:rPr>
                <w:b/>
                <w:bCs/>
              </w:rPr>
              <w:t>ays</w:t>
            </w:r>
            <w:r>
              <w:rPr>
                <w:b/>
                <w:bCs/>
              </w:rPr>
              <w:t>/week</w:t>
            </w:r>
          </w:p>
        </w:tc>
        <w:tc>
          <w:tcPr>
            <w:tcW w:w="2337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$18,275</w:t>
            </w:r>
          </w:p>
        </w:tc>
        <w:tc>
          <w:tcPr>
            <w:tcW w:w="2338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$16,340</w:t>
            </w:r>
          </w:p>
        </w:tc>
        <w:tc>
          <w:tcPr>
            <w:tcW w:w="2338" w:type="dxa"/>
          </w:tcPr>
          <w:p w:rsidR="006E7DE6" w:rsidRDefault="006E7DE6" w:rsidP="007737D5">
            <w:pPr>
              <w:spacing w:line="480" w:lineRule="auto"/>
              <w:jc w:val="center"/>
            </w:pPr>
            <w:r>
              <w:t>$14,620</w:t>
            </w:r>
          </w:p>
        </w:tc>
      </w:tr>
    </w:tbl>
    <w:p w:rsidR="006E7DE6" w:rsidRDefault="006E7DE6" w:rsidP="006E7DE6">
      <w:pPr>
        <w:jc w:val="center"/>
      </w:pPr>
    </w:p>
    <w:p w:rsidR="006E7DE6" w:rsidRDefault="006E7DE6" w:rsidP="006E7D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Non-Hampshire Families: </w:t>
      </w:r>
    </w:p>
    <w:p w:rsidR="006E7DE6" w:rsidRDefault="006E7DE6" w:rsidP="006E7DE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7DE6" w:rsidTr="007737D5">
        <w:tc>
          <w:tcPr>
            <w:tcW w:w="2337" w:type="dxa"/>
          </w:tcPr>
          <w:p w:rsidR="006E7DE6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Days/Yearly Tuition</w:t>
            </w:r>
          </w:p>
        </w:tc>
        <w:tc>
          <w:tcPr>
            <w:tcW w:w="2337" w:type="dxa"/>
          </w:tcPr>
          <w:p w:rsidR="006E7DE6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Infants</w:t>
            </w:r>
          </w:p>
        </w:tc>
        <w:tc>
          <w:tcPr>
            <w:tcW w:w="2338" w:type="dxa"/>
          </w:tcPr>
          <w:p w:rsidR="006E7DE6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Toddlers</w:t>
            </w:r>
          </w:p>
        </w:tc>
        <w:tc>
          <w:tcPr>
            <w:tcW w:w="2338" w:type="dxa"/>
          </w:tcPr>
          <w:p w:rsidR="006E7DE6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Preschool</w:t>
            </w:r>
          </w:p>
        </w:tc>
      </w:tr>
      <w:tr w:rsidR="006E7DE6" w:rsidTr="007737D5">
        <w:tc>
          <w:tcPr>
            <w:tcW w:w="2337" w:type="dxa"/>
          </w:tcPr>
          <w:p w:rsidR="006E7DE6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days/week</w:t>
            </w:r>
          </w:p>
        </w:tc>
        <w:tc>
          <w:tcPr>
            <w:tcW w:w="2337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$12,255</w:t>
            </w:r>
          </w:p>
        </w:tc>
        <w:tc>
          <w:tcPr>
            <w:tcW w:w="2338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$10,707</w:t>
            </w:r>
          </w:p>
        </w:tc>
        <w:tc>
          <w:tcPr>
            <w:tcW w:w="2338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$9,804</w:t>
            </w:r>
          </w:p>
        </w:tc>
      </w:tr>
      <w:tr w:rsidR="006E7DE6" w:rsidTr="007737D5">
        <w:tc>
          <w:tcPr>
            <w:tcW w:w="2337" w:type="dxa"/>
          </w:tcPr>
          <w:p w:rsidR="006E7DE6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days/week</w:t>
            </w:r>
          </w:p>
        </w:tc>
        <w:tc>
          <w:tcPr>
            <w:tcW w:w="2337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$16,340</w:t>
            </w:r>
          </w:p>
        </w:tc>
        <w:tc>
          <w:tcPr>
            <w:tcW w:w="2338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$14,276</w:t>
            </w:r>
          </w:p>
        </w:tc>
        <w:tc>
          <w:tcPr>
            <w:tcW w:w="2338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$13,072</w:t>
            </w:r>
          </w:p>
        </w:tc>
      </w:tr>
      <w:tr w:rsidR="006E7DE6" w:rsidTr="007737D5">
        <w:tc>
          <w:tcPr>
            <w:tcW w:w="2337" w:type="dxa"/>
          </w:tcPr>
          <w:p w:rsidR="006E7DE6" w:rsidRDefault="006E7DE6" w:rsidP="007737D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days/week</w:t>
            </w:r>
          </w:p>
        </w:tc>
        <w:tc>
          <w:tcPr>
            <w:tcW w:w="2337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$20,425</w:t>
            </w:r>
          </w:p>
        </w:tc>
        <w:tc>
          <w:tcPr>
            <w:tcW w:w="2338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$17,845</w:t>
            </w:r>
          </w:p>
        </w:tc>
        <w:tc>
          <w:tcPr>
            <w:tcW w:w="2338" w:type="dxa"/>
          </w:tcPr>
          <w:p w:rsidR="006E7DE6" w:rsidRPr="00740F31" w:rsidRDefault="006E7DE6" w:rsidP="007737D5">
            <w:pPr>
              <w:spacing w:line="480" w:lineRule="auto"/>
              <w:jc w:val="center"/>
            </w:pPr>
            <w:r>
              <w:t>$16,340</w:t>
            </w:r>
          </w:p>
        </w:tc>
      </w:tr>
    </w:tbl>
    <w:p w:rsidR="006E7DE6" w:rsidRPr="00740F31" w:rsidRDefault="006E7DE6" w:rsidP="006E7DE6">
      <w:pPr>
        <w:jc w:val="center"/>
        <w:rPr>
          <w:b/>
          <w:bCs/>
        </w:rPr>
      </w:pPr>
    </w:p>
    <w:p w:rsidR="006E7DE6" w:rsidRPr="00740F31" w:rsidRDefault="006E7DE6" w:rsidP="006E7DE6">
      <w:pPr>
        <w:jc w:val="center"/>
        <w:rPr>
          <w:b/>
          <w:bCs/>
          <w:u w:val="single"/>
        </w:rPr>
      </w:pPr>
    </w:p>
    <w:p w:rsidR="009378A1" w:rsidRDefault="009378A1"/>
    <w:sectPr w:rsidR="009378A1" w:rsidSect="00F01B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65"/>
    <w:rsid w:val="00282CA1"/>
    <w:rsid w:val="00404613"/>
    <w:rsid w:val="006E7DE6"/>
    <w:rsid w:val="00756D65"/>
    <w:rsid w:val="009378A1"/>
    <w:rsid w:val="00E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95B55"/>
  <w15:chartTrackingRefBased/>
  <w15:docId w15:val="{1162D058-DB51-1149-929C-2862689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E6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2023-04-07T12:36:00Z</dcterms:created>
  <dcterms:modified xsi:type="dcterms:W3CDTF">2023-05-11T18:53:00Z</dcterms:modified>
</cp:coreProperties>
</file>